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AC" w:rsidRPr="00F43CAC" w:rsidRDefault="00F43CAC" w:rsidP="00F43CAC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17365D" w:themeColor="text2" w:themeShade="BF"/>
          <w:kern w:val="36"/>
          <w:sz w:val="36"/>
          <w:szCs w:val="36"/>
          <w:lang w:eastAsia="it-IT"/>
        </w:rPr>
      </w:pPr>
      <w:r w:rsidRPr="00F43CAC">
        <w:rPr>
          <w:rFonts w:ascii="Arial Narrow" w:eastAsia="Times New Roman" w:hAnsi="Arial Narrow" w:cs="Arial"/>
          <w:b/>
          <w:bCs/>
          <w:color w:val="17365D" w:themeColor="text2" w:themeShade="BF"/>
          <w:kern w:val="36"/>
          <w:sz w:val="36"/>
          <w:szCs w:val="36"/>
          <w:lang w:eastAsia="it-IT"/>
        </w:rPr>
        <w:t>In vigore dal 1° Luglio 2015 il decreto “requisiti minimi degli edifici”</w:t>
      </w:r>
    </w:p>
    <w:p w:rsidR="00F43CAC" w:rsidRPr="005916CA" w:rsidRDefault="00F43CAC" w:rsidP="00F43CAC">
      <w:pPr>
        <w:shd w:val="clear" w:color="auto" w:fill="FFFFFF"/>
        <w:spacing w:before="252" w:after="0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</w:pP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La Conferenza Unificata ha deliberato: approvata l’attuazione del decreto riguardante il calcolo della prestazione energetica degli edifici</w:t>
      </w:r>
    </w:p>
    <w:p w:rsidR="00F43CAC" w:rsidRPr="005916CA" w:rsidRDefault="00F43CAC" w:rsidP="00F43CAC">
      <w:pPr>
        <w:shd w:val="clear" w:color="auto" w:fill="FFFFFF"/>
        <w:spacing w:after="0" w:line="151" w:lineRule="atLeast"/>
        <w:ind w:left="5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43CAC" w:rsidRPr="00F43CAC" w:rsidRDefault="00F43CAC" w:rsidP="00F43CAC">
      <w:pPr>
        <w:shd w:val="clear" w:color="auto" w:fill="FFFFFF"/>
        <w:spacing w:after="0" w:line="151" w:lineRule="atLeast"/>
        <w:rPr>
          <w:rFonts w:ascii="Arial" w:eastAsia="Times New Roman" w:hAnsi="Arial" w:cs="Arial"/>
          <w:b/>
          <w:bCs/>
          <w:color w:val="2F2F2F"/>
          <w:sz w:val="12"/>
          <w:szCs w:val="1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74240" cy="1982470"/>
            <wp:effectExtent l="19050" t="0" r="0" b="0"/>
            <wp:docPr id="2" name="Immagine 3" descr="http://www.expoclima.net/foto/228/208/kkk_Prestazione-energetica-edif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oclima.net/foto/228/208/kkk_Prestazione-energetica-edifi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AC" w:rsidRPr="005916CA" w:rsidRDefault="00F43CAC" w:rsidP="00F43CAC">
      <w:pPr>
        <w:shd w:val="clear" w:color="auto" w:fill="FFFFFF"/>
        <w:spacing w:after="0" w:line="151" w:lineRule="atLeast"/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</w:pP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La </w:t>
      </w: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Conferenza Unificata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 si è riunita Mercoledì 25 Marzo e ha </w:t>
      </w: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approvato il decreto sui requisiti minimi degli edifici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: modalità e strumenti utilizzabili per il calcolo, impiego delle risorse rinnovabili e requisiti minimi per valutare le prestazioni energetiche degli edifici, sono le tematiche trattate all’interno della normativa.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br/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br/>
        <w:t>Obiettivo “</w:t>
      </w: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efficienza energetica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” anche per le regioni italiane, dunque, che dovranno dimostrarsi pronte, per il prossimo 1° Luglio, ad applicare il contenuto del decreto. 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br/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br/>
        <w:t>Per maggiori dettagli, si attende, nei prossimi giorni, la pubblicazione del testo del decreto, ma considerando le bozze presentate nei mesi scorsi, emerge chiaramente quali saranno i temi toccati. Modalità e strumenti di </w:t>
      </w: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calcolo 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della prestazione energetica degli edifici e introduzione e definizione puntuale di </w:t>
      </w: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“edificio di riferimento”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come modello a cui gli esperti dovranno appoggiarsi nella stesura dei propri progetti, saranno gli argomenti fondanti del decreto.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br/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br/>
        <w:t>Tutto ciò nell’ottica di raggiungere, entro il 2021, l’obiettivo della ristrutturazione o costruzione di nuovi </w:t>
      </w:r>
      <w:r w:rsidRPr="005916CA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it-IT"/>
        </w:rPr>
        <w:t>edifici a “energia quasi zero”</w:t>
      </w:r>
      <w:r w:rsidRPr="005916C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it-IT"/>
        </w:rPr>
        <w:t>, così come sancito dalla Direttiva 2010/31/UE, recepita, in Italia, dalla legge 90/2013. </w:t>
      </w:r>
    </w:p>
    <w:p w:rsidR="001A7A65" w:rsidRPr="005916CA" w:rsidRDefault="005916CA">
      <w:pPr>
        <w:rPr>
          <w:sz w:val="24"/>
          <w:szCs w:val="24"/>
        </w:rPr>
      </w:pPr>
    </w:p>
    <w:sectPr w:rsidR="001A7A65" w:rsidRPr="005916CA" w:rsidSect="00AE4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600B"/>
    <w:multiLevelType w:val="multilevel"/>
    <w:tmpl w:val="8D1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C1940"/>
    <w:multiLevelType w:val="multilevel"/>
    <w:tmpl w:val="B006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compat/>
  <w:rsids>
    <w:rsidRoot w:val="00F43CAC"/>
    <w:rsid w:val="00164277"/>
    <w:rsid w:val="001C28E3"/>
    <w:rsid w:val="005916CA"/>
    <w:rsid w:val="00AE4287"/>
    <w:rsid w:val="00BF40F7"/>
    <w:rsid w:val="00DA086E"/>
    <w:rsid w:val="00F43CAC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287"/>
  </w:style>
  <w:style w:type="paragraph" w:styleId="Titolo1">
    <w:name w:val="heading 1"/>
    <w:basedOn w:val="Normale"/>
    <w:link w:val="Titolo1Carattere"/>
    <w:uiPriority w:val="9"/>
    <w:qFormat/>
    <w:rsid w:val="00F4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4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3C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C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n-widget">
    <w:name w:val="in-widget"/>
    <w:basedOn w:val="Carpredefinitoparagrafo"/>
    <w:rsid w:val="00F43CAC"/>
  </w:style>
  <w:style w:type="character" w:styleId="Collegamentoipertestuale">
    <w:name w:val="Hyperlink"/>
    <w:basedOn w:val="Carpredefinitoparagrafo"/>
    <w:uiPriority w:val="99"/>
    <w:semiHidden/>
    <w:unhideWhenUsed/>
    <w:rsid w:val="00F43C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4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43CAC"/>
  </w:style>
  <w:style w:type="character" w:styleId="Enfasigrassetto">
    <w:name w:val="Strong"/>
    <w:basedOn w:val="Carpredefinitoparagrafo"/>
    <w:uiPriority w:val="22"/>
    <w:qFormat/>
    <w:rsid w:val="00F43CA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676">
              <w:marLeft w:val="0"/>
              <w:marRight w:val="0"/>
              <w:marTop w:val="3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64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1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5</cp:revision>
  <dcterms:created xsi:type="dcterms:W3CDTF">2015-03-31T05:15:00Z</dcterms:created>
  <dcterms:modified xsi:type="dcterms:W3CDTF">2015-04-22T12:03:00Z</dcterms:modified>
</cp:coreProperties>
</file>